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9b9f17e28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RATIO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RATIO AS</w:t>
      </w:r>
    </w:p>
    <w:sectPr>
      <w:headerReference xmlns:r="http://schemas.openxmlformats.org/officeDocument/2006/relationships" w:type="default" r:id="R01f8fe7992ff44bf"/>
      <w:footerReference xmlns:r="http://schemas.openxmlformats.org/officeDocument/2006/relationships" w:type="default" r:id="R0085e1b5e82d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RATIO AS   ·   Org.nr 926 329 960   ·   Heiane 2B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8fe7992ff44bf" /><Relationship Type="http://schemas.openxmlformats.org/officeDocument/2006/relationships/footer" Target="/word/footer1.xml" Id="R0085e1b5e82d4e7e" /></Relationships>
</file>